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8D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宁夏太阳山水务有限责任公司、宁夏水投盐池水务有限公司、宁夏水投中卫水务有限公司、宁夏水投银川水务有限公司采购生产用车、轮式挖机项目询比</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公告</w:t>
      </w:r>
    </w:p>
    <w:p w14:paraId="3A5D3B53">
      <w:pPr>
        <w:pStyle w:val="2"/>
        <w:keepNext w:val="0"/>
        <w:keepLines w:val="0"/>
        <w:pageBreakBefore w:val="0"/>
        <w:widowControl/>
        <w:kinsoku/>
        <w:wordWrap/>
        <w:overflowPunct/>
        <w:topLinePunct w:val="0"/>
        <w:autoSpaceDE/>
        <w:autoSpaceDN/>
        <w:bidi w:val="0"/>
        <w:adjustRightInd/>
        <w:spacing w:before="0" w:beforeAutospacing="0" w:after="0" w:afterAutospacing="0"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一、项目基本情况 </w:t>
      </w:r>
    </w:p>
    <w:p w14:paraId="4B8FE241">
      <w:pPr>
        <w:keepNext w:val="0"/>
        <w:keepLines w:val="0"/>
        <w:pageBreakBefore w:val="0"/>
        <w:kinsoku/>
        <w:wordWrap/>
        <w:overflowPunct/>
        <w:topLinePunct w:val="0"/>
        <w:autoSpaceDE/>
        <w:autoSpaceDN/>
        <w:bidi w:val="0"/>
        <w:adjustRightInd/>
        <w:snapToGrid w:val="0"/>
        <w:spacing w:beforeAutospacing="0" w:afterAutospacing="0" w:line="440" w:lineRule="exac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宁正招字[2025]第123号</w:t>
      </w:r>
    </w:p>
    <w:p w14:paraId="705427B3">
      <w:pPr>
        <w:keepNext w:val="0"/>
        <w:keepLines w:val="0"/>
        <w:pageBreakBefore w:val="0"/>
        <w:kinsoku/>
        <w:wordWrap/>
        <w:overflowPunct/>
        <w:topLinePunct w:val="0"/>
        <w:autoSpaceDE/>
        <w:autoSpaceDN/>
        <w:bidi w:val="0"/>
        <w:adjustRightInd/>
        <w:snapToGrid w:val="0"/>
        <w:spacing w:beforeAutospacing="0" w:afterAutospacing="0" w:line="44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val="en-US" w:eastAsia="zh-CN"/>
          <w14:textFill>
            <w14:solidFill>
              <w14:schemeClr w14:val="tx1"/>
            </w14:solidFill>
          </w14:textFill>
        </w:rPr>
        <w:t>宁夏太阳山水务有限责任公司、宁夏水投盐池水务有限公司、宁夏水投中卫水务有限公司、宁夏水投银川水务有限公司采购生产用车、轮式挖机项目</w:t>
      </w:r>
    </w:p>
    <w:p w14:paraId="23C72259">
      <w:pPr>
        <w:keepNext w:val="0"/>
        <w:keepLines w:val="0"/>
        <w:pageBreakBefore w:val="0"/>
        <w:kinsoku/>
        <w:wordWrap/>
        <w:overflowPunct/>
        <w:topLinePunct w:val="0"/>
        <w:autoSpaceDE/>
        <w:autoSpaceDN/>
        <w:bidi w:val="0"/>
        <w:adjustRightInd/>
        <w:snapToGrid w:val="0"/>
        <w:spacing w:beforeAutospacing="0" w:afterAutospacing="0"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询比采购</w:t>
      </w:r>
    </w:p>
    <w:p w14:paraId="745E81A3">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rFonts w:hint="eastAsia"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标段划分：</w:t>
      </w:r>
    </w:p>
    <w:tbl>
      <w:tblPr>
        <w:tblStyle w:val="5"/>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600"/>
        <w:gridCol w:w="1818"/>
        <w:gridCol w:w="1505"/>
        <w:gridCol w:w="1505"/>
        <w:gridCol w:w="1957"/>
      </w:tblGrid>
      <w:tr w14:paraId="6CCB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98" w:type="dxa"/>
            <w:vAlign w:val="center"/>
          </w:tcPr>
          <w:p w14:paraId="6DD6D3D8">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序号</w:t>
            </w:r>
          </w:p>
        </w:tc>
        <w:tc>
          <w:tcPr>
            <w:tcW w:w="1600" w:type="dxa"/>
            <w:vAlign w:val="center"/>
          </w:tcPr>
          <w:p w14:paraId="13FFB6EB">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采购车辆</w:t>
            </w:r>
          </w:p>
        </w:tc>
        <w:tc>
          <w:tcPr>
            <w:tcW w:w="1818" w:type="dxa"/>
            <w:vAlign w:val="center"/>
          </w:tcPr>
          <w:p w14:paraId="0F6820C7">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采购需求</w:t>
            </w:r>
          </w:p>
        </w:tc>
        <w:tc>
          <w:tcPr>
            <w:tcW w:w="1505" w:type="dxa"/>
            <w:vAlign w:val="center"/>
          </w:tcPr>
          <w:p w14:paraId="06EA25D6">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供货期限</w:t>
            </w:r>
          </w:p>
        </w:tc>
        <w:tc>
          <w:tcPr>
            <w:tcW w:w="1505" w:type="dxa"/>
            <w:vAlign w:val="center"/>
          </w:tcPr>
          <w:p w14:paraId="14D6673A">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质量标准</w:t>
            </w:r>
          </w:p>
        </w:tc>
        <w:tc>
          <w:tcPr>
            <w:tcW w:w="1957" w:type="dxa"/>
            <w:vAlign w:val="center"/>
          </w:tcPr>
          <w:p w14:paraId="5EFEDBF6">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预算金额</w:t>
            </w:r>
          </w:p>
        </w:tc>
      </w:tr>
      <w:tr w14:paraId="2E62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98" w:type="dxa"/>
            <w:vAlign w:val="center"/>
          </w:tcPr>
          <w:p w14:paraId="6E4843B0">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一标段</w:t>
            </w:r>
          </w:p>
        </w:tc>
        <w:tc>
          <w:tcPr>
            <w:tcW w:w="1600" w:type="dxa"/>
            <w:vAlign w:val="center"/>
          </w:tcPr>
          <w:p w14:paraId="0AD62238">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皮卡汽车</w:t>
            </w:r>
          </w:p>
        </w:tc>
        <w:tc>
          <w:tcPr>
            <w:tcW w:w="1818" w:type="dxa"/>
            <w:vMerge w:val="restart"/>
            <w:vAlign w:val="center"/>
          </w:tcPr>
          <w:p w14:paraId="340DF1AC">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eastAsia"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具体采购需求详见询比采购文件第四章委托人要求及评审细则</w:t>
            </w:r>
          </w:p>
        </w:tc>
        <w:tc>
          <w:tcPr>
            <w:tcW w:w="1505" w:type="dxa"/>
            <w:vMerge w:val="restart"/>
            <w:vAlign w:val="center"/>
          </w:tcPr>
          <w:p w14:paraId="07622056">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default" w:cs="宋体"/>
                <w:bCs/>
                <w:color w:val="000000" w:themeColor="text1"/>
                <w:sz w:val="22"/>
                <w:szCs w:val="22"/>
                <w:highlight w:val="none"/>
                <w:vertAlign w:val="baseline"/>
                <w:lang w:val="en-US" w:eastAsia="zh-CN"/>
                <w14:textFill>
                  <w14:solidFill>
                    <w14:schemeClr w14:val="tx1"/>
                  </w14:solidFill>
                </w14:textFill>
              </w:rPr>
              <w:t>自合同签订之日起35日内完成供货。</w:t>
            </w:r>
          </w:p>
        </w:tc>
        <w:tc>
          <w:tcPr>
            <w:tcW w:w="1505" w:type="dxa"/>
            <w:vMerge w:val="restart"/>
            <w:vAlign w:val="center"/>
          </w:tcPr>
          <w:p w14:paraId="1259F088">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合格</w:t>
            </w:r>
          </w:p>
        </w:tc>
        <w:tc>
          <w:tcPr>
            <w:tcW w:w="1957" w:type="dxa"/>
            <w:vAlign w:val="center"/>
          </w:tcPr>
          <w:p w14:paraId="0180959E">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1,194,400.00元</w:t>
            </w:r>
          </w:p>
        </w:tc>
      </w:tr>
      <w:tr w14:paraId="00EB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14:paraId="64E9DF84">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二标段</w:t>
            </w:r>
          </w:p>
        </w:tc>
        <w:tc>
          <w:tcPr>
            <w:tcW w:w="1600" w:type="dxa"/>
            <w:vAlign w:val="center"/>
          </w:tcPr>
          <w:p w14:paraId="0E014F9A">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default" w:cs="宋体"/>
                <w:bCs/>
                <w:color w:val="000000" w:themeColor="text1"/>
                <w:sz w:val="22"/>
                <w:szCs w:val="22"/>
                <w:highlight w:val="none"/>
                <w:vertAlign w:val="baseline"/>
                <w:lang w:val="en-US" w:eastAsia="zh-CN"/>
                <w14:textFill>
                  <w14:solidFill>
                    <w14:schemeClr w14:val="tx1"/>
                  </w14:solidFill>
                </w14:textFill>
              </w:rPr>
              <w:t>轮式挖机</w:t>
            </w:r>
          </w:p>
        </w:tc>
        <w:tc>
          <w:tcPr>
            <w:tcW w:w="1818" w:type="dxa"/>
            <w:vMerge w:val="continue"/>
            <w:vAlign w:val="center"/>
          </w:tcPr>
          <w:p w14:paraId="461C3F18">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p>
        </w:tc>
        <w:tc>
          <w:tcPr>
            <w:tcW w:w="1505" w:type="dxa"/>
            <w:vMerge w:val="continue"/>
            <w:vAlign w:val="center"/>
          </w:tcPr>
          <w:p w14:paraId="0C981666">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p>
        </w:tc>
        <w:tc>
          <w:tcPr>
            <w:tcW w:w="1505" w:type="dxa"/>
            <w:vMerge w:val="continue"/>
            <w:vAlign w:val="center"/>
          </w:tcPr>
          <w:p w14:paraId="62BE6815">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p>
        </w:tc>
        <w:tc>
          <w:tcPr>
            <w:tcW w:w="1957" w:type="dxa"/>
            <w:vAlign w:val="center"/>
          </w:tcPr>
          <w:p w14:paraId="7181D1AC">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center"/>
              <w:textAlignment w:val="auto"/>
              <w:rPr>
                <w:rFonts w:hint="default" w:cs="宋体"/>
                <w:bCs/>
                <w:color w:val="000000" w:themeColor="text1"/>
                <w:sz w:val="22"/>
                <w:szCs w:val="22"/>
                <w:highlight w:val="none"/>
                <w:vertAlign w:val="baseline"/>
                <w:lang w:val="en-US" w:eastAsia="zh-CN"/>
                <w14:textFill>
                  <w14:solidFill>
                    <w14:schemeClr w14:val="tx1"/>
                  </w14:solidFill>
                </w14:textFill>
              </w:rPr>
            </w:pPr>
            <w:r>
              <w:rPr>
                <w:rFonts w:hint="eastAsia" w:cs="宋体"/>
                <w:bCs/>
                <w:color w:val="000000" w:themeColor="text1"/>
                <w:sz w:val="22"/>
                <w:szCs w:val="22"/>
                <w:highlight w:val="none"/>
                <w:vertAlign w:val="baseline"/>
                <w:lang w:val="en-US" w:eastAsia="zh-CN"/>
                <w14:textFill>
                  <w14:solidFill>
                    <w14:schemeClr w14:val="tx1"/>
                  </w14:solidFill>
                </w14:textFill>
              </w:rPr>
              <w:t>300,000.00元</w:t>
            </w:r>
          </w:p>
        </w:tc>
      </w:tr>
    </w:tbl>
    <w:p w14:paraId="675A8138">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Cs/>
          <w:color w:val="000000" w:themeColor="text1"/>
          <w:sz w:val="24"/>
          <w:szCs w:val="24"/>
          <w:highlight w:val="none"/>
          <w14:textFill>
            <w14:solidFill>
              <w14:schemeClr w14:val="tx1"/>
            </w14:solidFill>
          </w14:textFill>
        </w:rPr>
        <w:t>期限：自合同签订之日起</w:t>
      </w:r>
      <w:r>
        <w:rPr>
          <w:rFonts w:hint="eastAsia" w:cs="宋体"/>
          <w:bCs/>
          <w:color w:val="000000" w:themeColor="text1"/>
          <w:sz w:val="24"/>
          <w:szCs w:val="24"/>
          <w:highlight w:val="none"/>
          <w:lang w:val="en-US" w:eastAsia="zh-CN"/>
          <w14:textFill>
            <w14:solidFill>
              <w14:schemeClr w14:val="tx1"/>
            </w14:solidFill>
          </w14:textFill>
        </w:rPr>
        <w:t>35天</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内完成供货</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79E66556">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质量标准：合格</w:t>
      </w:r>
    </w:p>
    <w:p w14:paraId="3A7397C9">
      <w:pPr>
        <w:pStyle w:val="3"/>
        <w:keepNext w:val="0"/>
        <w:keepLines w:val="0"/>
        <w:pageBreakBefore w:val="0"/>
        <w:kinsoku/>
        <w:wordWrap/>
        <w:overflowPunct/>
        <w:topLinePunct w:val="0"/>
        <w:autoSpaceDE/>
        <w:autoSpaceDN/>
        <w:bidi w:val="0"/>
        <w:adjustRightInd/>
        <w:spacing w:before="0" w:beforeAutospacing="0" w:after="0" w:afterAutospacing="0" w:line="440" w:lineRule="exact"/>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本项目是否接受联合体响应:否</w:t>
      </w:r>
    </w:p>
    <w:p w14:paraId="5857BB9F">
      <w:pPr>
        <w:pStyle w:val="3"/>
        <w:keepNext w:val="0"/>
        <w:keepLines w:val="0"/>
        <w:pageBreakBefore w:val="0"/>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二、供应商的资格要求： </w:t>
      </w:r>
    </w:p>
    <w:p w14:paraId="0AA7E2AE">
      <w:pPr>
        <w:keepNext w:val="0"/>
        <w:keepLines w:val="0"/>
        <w:pageBreakBefore w:val="0"/>
        <w:kinsoku/>
        <w:wordWrap/>
        <w:overflowPunct/>
        <w:topLinePunct w:val="0"/>
        <w:autoSpaceDE/>
        <w:autoSpaceDN/>
        <w:bidi w:val="0"/>
        <w:adjustRightInd/>
        <w:snapToGrid w:val="0"/>
        <w:spacing w:beforeAutospacing="0" w:afterAutospacing="0" w:line="4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14:paraId="59B575C5">
      <w:pPr>
        <w:keepNext w:val="0"/>
        <w:keepLines w:val="0"/>
        <w:pageBreakBefore w:val="0"/>
        <w:kinsoku/>
        <w:wordWrap/>
        <w:overflowPunct/>
        <w:topLinePunct w:val="0"/>
        <w:autoSpaceDE/>
        <w:autoSpaceDN/>
        <w:bidi w:val="0"/>
        <w:adjustRightInd/>
        <w:spacing w:beforeAutospacing="0" w:afterAutospacing="0" w:line="440" w:lineRule="exact"/>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具有加载统一社会信用代码的企业法人营业执照或个体工商户营业执照副本或事业单位法人证书或执业许可证；法人授权委托书、法人及被授权人身份证复印件（法定代表人直接响应可不提供，但须提供法定代表人身份证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）供应商提供资格承诺函 (包含良好的商业信誉和健全的财务会计制度、具有履行合同所必需的设备和专业技术能力、依法缴纳税收和社会保障资金、参加政府采购活动前三年内，在经营活动中没有重大违法记录) 或提供相应证明材料；（</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被“信用中国”网站列入失信被执行人和重大税收违法案件当事人名单的、被“中国政府采购网”网站列入政府采购严重违法失信行为记录名单（处罚期限尚未届</w:t>
      </w:r>
      <w:r>
        <w:rPr>
          <w:rFonts w:hint="eastAsia" w:ascii="宋体" w:hAnsi="宋体" w:eastAsia="宋体" w:cs="宋体"/>
          <w:color w:val="000000" w:themeColor="text1"/>
          <w:sz w:val="24"/>
          <w:szCs w:val="24"/>
          <w:highlight w:val="none"/>
          <w:lang w:eastAsia="zh-CN"/>
          <w14:textFill>
            <w14:solidFill>
              <w14:schemeClr w14:val="tx1"/>
            </w14:solidFill>
          </w14:textFill>
        </w:rPr>
        <w:t>满的），不得参与本项目的采购活动；</w:t>
      </w:r>
    </w:p>
    <w:p w14:paraId="3E3D2B13">
      <w:pPr>
        <w:keepNext w:val="0"/>
        <w:keepLines w:val="0"/>
        <w:pageBreakBefore w:val="0"/>
        <w:kinsoku/>
        <w:wordWrap/>
        <w:overflowPunct/>
        <w:topLinePunct w:val="0"/>
        <w:autoSpaceDE/>
        <w:autoSpaceDN/>
        <w:bidi w:val="0"/>
        <w:adjustRightInd/>
        <w:snapToGrid w:val="0"/>
        <w:spacing w:beforeAutospacing="0" w:afterAutospacing="0" w:line="440" w:lineRule="exact"/>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三、获取</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询比</w:t>
      </w:r>
      <w:r>
        <w:rPr>
          <w:rFonts w:hint="eastAsia" w:ascii="宋体" w:hAnsi="宋体" w:eastAsia="宋体" w:cs="宋体"/>
          <w:b/>
          <w:bCs/>
          <w:color w:val="000000" w:themeColor="text1"/>
          <w:sz w:val="24"/>
          <w:szCs w:val="24"/>
          <w:highlight w:val="none"/>
          <w14:textFill>
            <w14:solidFill>
              <w14:schemeClr w14:val="tx1"/>
            </w14:solidFill>
          </w14:textFill>
        </w:rPr>
        <w:t>文件：</w:t>
      </w:r>
      <w:bookmarkStart w:id="0" w:name="_Hlk490472968"/>
      <w:bookmarkStart w:id="1" w:name="_Hlk487727170"/>
    </w:p>
    <w:bookmarkEnd w:id="0"/>
    <w:bookmarkEnd w:id="1"/>
    <w:p w14:paraId="472EF3C5">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3</w:t>
      </w:r>
      <w:r>
        <w:rPr>
          <w:rFonts w:hint="eastAsia" w:ascii="宋体" w:hAnsi="宋体" w:eastAsia="宋体" w:cs="宋体"/>
          <w:color w:val="000000"/>
          <w:highlight w:val="none"/>
          <w:lang w:bidi="zh-CN"/>
        </w:rPr>
        <w:t>.1本项目实行网上发布电子版文件，请供应商登录国采云电子招标投标公共服务平台（https://www.gcygov.com/f），进入“用户注册管理入口”注册本企业信息。在网站首页的信息公布区，找到要参与的项目信息，点击进入后在最下方点击“参于投标”并下载标书报名并免费下载询比文件，获取时间从2025年0</w:t>
      </w:r>
      <w:r>
        <w:rPr>
          <w:rFonts w:hint="eastAsia" w:ascii="宋体" w:hAnsi="宋体" w:eastAsia="宋体" w:cs="宋体"/>
          <w:color w:val="000000"/>
          <w:highlight w:val="none"/>
          <w:lang w:val="en-US" w:bidi="zh-CN"/>
        </w:rPr>
        <w:t>5</w:t>
      </w:r>
      <w:r>
        <w:rPr>
          <w:rFonts w:hint="eastAsia" w:ascii="宋体" w:hAnsi="宋体" w:eastAsia="宋体" w:cs="宋体"/>
          <w:color w:val="000000"/>
          <w:highlight w:val="none"/>
          <w:lang w:bidi="zh-CN"/>
        </w:rPr>
        <w:t>月</w:t>
      </w:r>
      <w:r>
        <w:rPr>
          <w:rFonts w:hint="eastAsia" w:ascii="宋体" w:hAnsi="宋体" w:eastAsia="宋体" w:cs="宋体"/>
          <w:color w:val="000000"/>
          <w:highlight w:val="none"/>
          <w:lang w:val="en-US" w:bidi="zh-CN"/>
        </w:rPr>
        <w:t>2</w:t>
      </w:r>
      <w:r>
        <w:rPr>
          <w:rFonts w:hint="eastAsia" w:cs="宋体"/>
          <w:color w:val="000000"/>
          <w:highlight w:val="none"/>
          <w:lang w:val="en-US" w:bidi="zh-CN"/>
        </w:rPr>
        <w:t>9</w:t>
      </w:r>
      <w:r>
        <w:rPr>
          <w:rFonts w:hint="eastAsia" w:ascii="宋体" w:hAnsi="宋体" w:eastAsia="宋体" w:cs="宋体"/>
          <w:color w:val="000000"/>
          <w:highlight w:val="none"/>
          <w:lang w:bidi="zh-CN"/>
        </w:rPr>
        <w:t>日</w:t>
      </w:r>
      <w:r>
        <w:rPr>
          <w:rFonts w:hint="eastAsia" w:ascii="宋体" w:hAnsi="宋体" w:eastAsia="宋体" w:cs="宋体"/>
          <w:color w:val="000000"/>
          <w:highlight w:val="none"/>
          <w:lang w:val="en-US" w:bidi="zh-CN"/>
        </w:rPr>
        <w:t>0</w:t>
      </w:r>
      <w:r>
        <w:rPr>
          <w:rFonts w:hint="eastAsia" w:ascii="宋体" w:hAnsi="宋体" w:eastAsia="宋体" w:cs="宋体"/>
          <w:color w:val="000000"/>
          <w:highlight w:val="none"/>
          <w:lang w:bidi="zh-CN"/>
        </w:rPr>
        <w:t>8时00分到2025年0</w:t>
      </w:r>
      <w:r>
        <w:rPr>
          <w:rFonts w:hint="eastAsia" w:cs="宋体"/>
          <w:color w:val="000000"/>
          <w:highlight w:val="none"/>
          <w:lang w:val="en-US" w:bidi="zh-CN"/>
        </w:rPr>
        <w:t>6</w:t>
      </w:r>
      <w:r>
        <w:rPr>
          <w:rFonts w:hint="eastAsia" w:ascii="宋体" w:hAnsi="宋体" w:eastAsia="宋体" w:cs="宋体"/>
          <w:color w:val="000000"/>
          <w:highlight w:val="none"/>
          <w:lang w:bidi="zh-CN"/>
        </w:rPr>
        <w:t>月</w:t>
      </w:r>
      <w:r>
        <w:rPr>
          <w:rFonts w:hint="eastAsia" w:cs="宋体"/>
          <w:color w:val="000000"/>
          <w:highlight w:val="none"/>
          <w:lang w:val="en-US" w:bidi="zh-CN"/>
        </w:rPr>
        <w:t>03</w:t>
      </w:r>
      <w:r>
        <w:rPr>
          <w:rFonts w:hint="eastAsia" w:ascii="宋体" w:hAnsi="宋体" w:eastAsia="宋体" w:cs="宋体"/>
          <w:color w:val="000000"/>
          <w:highlight w:val="none"/>
          <w:lang w:bidi="zh-CN"/>
        </w:rPr>
        <w:t>日18时00分。</w:t>
      </w:r>
    </w:p>
    <w:p w14:paraId="347D5EE8">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3</w:t>
      </w:r>
      <w:r>
        <w:rPr>
          <w:rFonts w:hint="eastAsia" w:ascii="宋体" w:hAnsi="宋体" w:eastAsia="宋体" w:cs="宋体"/>
          <w:color w:val="000000"/>
          <w:highlight w:val="none"/>
          <w:lang w:bidi="zh-CN"/>
        </w:rPr>
        <w:t>.2供应商在递交响应文件截止时间前应随时关注“电子采购交易平台”，本项目有可能进行时间或内容上的调整，内容只在“电子采购交易平台”上发布，采购代理机构及采购人不再以其它方式通知。如因自身原因未及时关注变更公告或澄清、补疑等从而导致响应失败的，其后果自行承担。</w:t>
      </w:r>
    </w:p>
    <w:p w14:paraId="73CCC8E1">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3</w:t>
      </w:r>
      <w:r>
        <w:rPr>
          <w:rFonts w:hint="eastAsia" w:ascii="宋体" w:hAnsi="宋体" w:eastAsia="宋体" w:cs="宋体"/>
          <w:color w:val="000000"/>
          <w:highlight w:val="none"/>
          <w:lang w:bidi="zh-CN"/>
        </w:rPr>
        <w:t>.3</w:t>
      </w:r>
      <w:r>
        <w:rPr>
          <w:rFonts w:hint="eastAsia" w:ascii="宋体" w:hAnsi="宋体" w:eastAsia="宋体" w:cs="宋体"/>
          <w:highlight w:val="none"/>
        </w:rPr>
        <w:t>“电子采购交易平台”交易系统实行 CA 证书登录管理。具体操作事宜，可登录“电子采购交易平台”首页按照相关文件操作或致电0951-7655500咨询</w:t>
      </w:r>
      <w:r>
        <w:rPr>
          <w:rFonts w:hint="eastAsia" w:ascii="宋体" w:hAnsi="宋体" w:eastAsia="宋体" w:cs="宋体"/>
          <w:color w:val="000000"/>
          <w:highlight w:val="none"/>
          <w:lang w:bidi="zh-CN"/>
        </w:rPr>
        <w:t>。</w:t>
      </w:r>
    </w:p>
    <w:p w14:paraId="20F3AD87">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jc w:val="both"/>
        <w:textAlignment w:val="auto"/>
        <w:rPr>
          <w:rFonts w:hint="eastAsia" w:ascii="宋体" w:hAnsi="宋体" w:eastAsia="宋体" w:cs="宋体"/>
          <w:b/>
          <w:bCs/>
          <w:color w:val="000000"/>
          <w:highlight w:val="none"/>
          <w:lang w:bidi="zh-CN"/>
        </w:rPr>
      </w:pPr>
      <w:r>
        <w:rPr>
          <w:rFonts w:hint="eastAsia" w:ascii="宋体" w:hAnsi="宋体" w:eastAsia="宋体" w:cs="宋体"/>
          <w:b/>
          <w:bCs/>
          <w:color w:val="000000"/>
          <w:highlight w:val="none"/>
          <w:lang w:val="en-US" w:bidi="zh-CN"/>
        </w:rPr>
        <w:t>四</w:t>
      </w:r>
      <w:r>
        <w:rPr>
          <w:rFonts w:hint="eastAsia" w:ascii="宋体" w:hAnsi="宋体" w:eastAsia="宋体" w:cs="宋体"/>
          <w:b/>
          <w:bCs/>
          <w:color w:val="000000"/>
          <w:highlight w:val="none"/>
          <w:lang w:bidi="zh-CN"/>
        </w:rPr>
        <w:t>、响应文件的递交、开标时间及地点</w:t>
      </w:r>
    </w:p>
    <w:p w14:paraId="55EA040B">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bookmarkStart w:id="2" w:name="_Toc309305503"/>
      <w:bookmarkStart w:id="3" w:name="_Toc309246658"/>
      <w:bookmarkStart w:id="4" w:name="_Toc309244632"/>
      <w:bookmarkStart w:id="5" w:name="_Toc309246790"/>
      <w:r>
        <w:rPr>
          <w:rFonts w:hint="eastAsia" w:ascii="宋体" w:hAnsi="宋体" w:eastAsia="宋体" w:cs="宋体"/>
          <w:color w:val="000000"/>
          <w:highlight w:val="none"/>
          <w:lang w:val="en-US" w:bidi="zh-CN"/>
        </w:rPr>
        <w:t>4</w:t>
      </w:r>
      <w:r>
        <w:rPr>
          <w:rFonts w:hint="eastAsia" w:ascii="宋体" w:hAnsi="宋体" w:eastAsia="宋体" w:cs="宋体"/>
          <w:color w:val="000000"/>
          <w:highlight w:val="none"/>
          <w:lang w:bidi="zh-CN"/>
        </w:rPr>
        <w:t>.1递交截止时间及开标时间：2025年0</w:t>
      </w:r>
      <w:r>
        <w:rPr>
          <w:rFonts w:hint="eastAsia" w:cs="宋体"/>
          <w:color w:val="000000"/>
          <w:highlight w:val="none"/>
          <w:lang w:val="en-US" w:bidi="zh-CN"/>
        </w:rPr>
        <w:t>6</w:t>
      </w:r>
      <w:r>
        <w:rPr>
          <w:rFonts w:hint="eastAsia" w:ascii="宋体" w:hAnsi="宋体" w:eastAsia="宋体" w:cs="宋体"/>
          <w:color w:val="000000"/>
          <w:highlight w:val="none"/>
          <w:lang w:bidi="zh-CN"/>
        </w:rPr>
        <w:t>月</w:t>
      </w:r>
      <w:r>
        <w:rPr>
          <w:rFonts w:hint="eastAsia" w:cs="宋体"/>
          <w:color w:val="000000"/>
          <w:highlight w:val="none"/>
          <w:lang w:val="en-US" w:bidi="zh-CN"/>
        </w:rPr>
        <w:t>10</w:t>
      </w:r>
      <w:r>
        <w:rPr>
          <w:rFonts w:hint="eastAsia" w:ascii="宋体" w:hAnsi="宋体" w:eastAsia="宋体" w:cs="宋体"/>
          <w:color w:val="000000"/>
          <w:highlight w:val="none"/>
          <w:lang w:bidi="zh-CN"/>
        </w:rPr>
        <w:t>日09:30（北京时间）；</w:t>
      </w:r>
    </w:p>
    <w:p w14:paraId="38BD42CF">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4</w:t>
      </w:r>
      <w:r>
        <w:rPr>
          <w:rFonts w:hint="eastAsia" w:ascii="宋体" w:hAnsi="宋体" w:eastAsia="宋体" w:cs="宋体"/>
          <w:color w:val="000000"/>
          <w:highlight w:val="none"/>
          <w:lang w:bidi="zh-CN"/>
        </w:rPr>
        <w:t>.2递交地点：供应商须在截止时间前在“宁夏水投国采云电子采购交易平台”递交响应文件。逾期送达的响应文件，“电子采购交易平台”将予以拒收。</w:t>
      </w:r>
    </w:p>
    <w:p w14:paraId="2B335AC4">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4</w:t>
      </w:r>
      <w:r>
        <w:rPr>
          <w:rFonts w:hint="eastAsia" w:ascii="宋体" w:hAnsi="宋体" w:eastAsia="宋体" w:cs="宋体"/>
          <w:color w:val="000000"/>
          <w:highlight w:val="none"/>
          <w:lang w:bidi="zh-CN"/>
        </w:rPr>
        <w:t>.3逾期送达的、未送达指定地点的或者不按照询比文件要求密封的响应文件，采购人将予以拒收。</w:t>
      </w:r>
    </w:p>
    <w:bookmarkEnd w:id="2"/>
    <w:bookmarkEnd w:id="3"/>
    <w:bookmarkEnd w:id="4"/>
    <w:bookmarkEnd w:id="5"/>
    <w:p w14:paraId="551266D6">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jc w:val="both"/>
        <w:textAlignment w:val="auto"/>
        <w:rPr>
          <w:rFonts w:hint="eastAsia" w:ascii="宋体" w:hAnsi="宋体" w:eastAsia="宋体" w:cs="宋体"/>
          <w:b/>
          <w:bCs/>
          <w:color w:val="000000"/>
          <w:highlight w:val="none"/>
          <w:lang w:bidi="zh-CN"/>
        </w:rPr>
      </w:pPr>
      <w:r>
        <w:rPr>
          <w:rFonts w:hint="eastAsia" w:ascii="宋体" w:hAnsi="宋体" w:eastAsia="宋体" w:cs="宋体"/>
          <w:b/>
          <w:bCs/>
          <w:color w:val="000000"/>
          <w:highlight w:val="none"/>
          <w:lang w:val="en-US" w:bidi="zh-CN"/>
        </w:rPr>
        <w:t>五</w:t>
      </w:r>
      <w:r>
        <w:rPr>
          <w:rFonts w:hint="eastAsia" w:ascii="宋体" w:hAnsi="宋体" w:eastAsia="宋体" w:cs="宋体"/>
          <w:b/>
          <w:bCs/>
          <w:color w:val="000000"/>
          <w:highlight w:val="none"/>
          <w:lang w:bidi="zh-CN"/>
        </w:rPr>
        <w:t xml:space="preserve">、其他 </w:t>
      </w:r>
    </w:p>
    <w:p w14:paraId="37A764C9">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5</w:t>
      </w:r>
      <w:r>
        <w:rPr>
          <w:rFonts w:hint="eastAsia" w:ascii="宋体" w:hAnsi="宋体" w:eastAsia="宋体" w:cs="宋体"/>
          <w:color w:val="000000"/>
          <w:highlight w:val="none"/>
          <w:lang w:bidi="zh-CN"/>
        </w:rPr>
        <w:t>.1本次招标公告同时在</w:t>
      </w:r>
      <w:r>
        <w:rPr>
          <w:rFonts w:hint="eastAsia" w:ascii="宋体" w:hAnsi="宋体" w:eastAsia="宋体" w:cs="宋体"/>
          <w:color w:val="000000"/>
          <w:highlight w:val="none"/>
          <w:lang w:val="en-US" w:bidi="zh-CN"/>
        </w:rPr>
        <w:t>中国采购与招标网</w:t>
      </w:r>
      <w:r>
        <w:rPr>
          <w:rFonts w:hint="eastAsia" w:ascii="宋体" w:hAnsi="宋体" w:eastAsia="宋体" w:cs="宋体"/>
          <w:color w:val="000000"/>
          <w:highlight w:val="none"/>
          <w:lang w:bidi="zh-CN"/>
        </w:rPr>
        <w:t>、国采云电子招标投标交易平台上发布。</w:t>
      </w:r>
    </w:p>
    <w:p w14:paraId="4CE42512">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5</w:t>
      </w:r>
      <w:r>
        <w:rPr>
          <w:rFonts w:hint="eastAsia" w:ascii="宋体" w:hAnsi="宋体" w:eastAsia="宋体" w:cs="宋体"/>
          <w:color w:val="000000"/>
          <w:highlight w:val="none"/>
          <w:lang w:bidi="zh-CN"/>
        </w:rPr>
        <w:t>.2对于因其他网站转载并发布的非完整版或修改版公告，而导致误报名或无效报名的情形，采购人及招标代理机构不予承担责任。投标单位应提高警惕，不要向其他组织、个人支付相关款项，避免上当受骗。投标单位由此而造成的经济损失，采购人及招标代理机构不承担任何责任。</w:t>
      </w:r>
    </w:p>
    <w:p w14:paraId="654BE347">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val="en-US" w:bidi="zh-CN"/>
        </w:rPr>
        <w:t>5</w:t>
      </w:r>
      <w:r>
        <w:rPr>
          <w:rFonts w:hint="eastAsia" w:ascii="宋体" w:hAnsi="宋体" w:eastAsia="宋体" w:cs="宋体"/>
          <w:color w:val="000000"/>
          <w:highlight w:val="none"/>
          <w:lang w:bidi="zh-CN"/>
        </w:rPr>
        <w:t>.3请各供应商在报名结束至开标前随时关注网站“变更公告”。你所关注的项目有可能进行时间或内容上的调整。调整内容只在以公告形式公示。招标代理机构及采购人不再以其他方式通知。如因自身原因未及时关注招标公告或变更(澄清、补充等)公告从而导致投标失败，其后果自行承担。</w:t>
      </w:r>
    </w:p>
    <w:p w14:paraId="0754B395">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jc w:val="both"/>
        <w:textAlignment w:val="auto"/>
        <w:rPr>
          <w:rFonts w:hint="eastAsia" w:ascii="宋体" w:hAnsi="宋体" w:eastAsia="宋体" w:cs="宋体"/>
          <w:b/>
          <w:bCs/>
          <w:color w:val="000000"/>
          <w:highlight w:val="none"/>
          <w:lang w:bidi="zh-CN"/>
        </w:rPr>
      </w:pPr>
      <w:r>
        <w:rPr>
          <w:rFonts w:hint="eastAsia" w:ascii="宋体" w:hAnsi="宋体" w:eastAsia="宋体" w:cs="宋体"/>
          <w:b/>
          <w:bCs/>
          <w:color w:val="000000"/>
          <w:highlight w:val="none"/>
          <w:lang w:val="en-US" w:bidi="zh-CN"/>
        </w:rPr>
        <w:t>六</w:t>
      </w:r>
      <w:r>
        <w:rPr>
          <w:rFonts w:hint="eastAsia" w:ascii="宋体" w:hAnsi="宋体" w:eastAsia="宋体" w:cs="宋体"/>
          <w:b/>
          <w:bCs/>
          <w:color w:val="000000"/>
          <w:highlight w:val="none"/>
          <w:lang w:bidi="zh-CN"/>
        </w:rPr>
        <w:t>、联系方式</w:t>
      </w:r>
    </w:p>
    <w:p w14:paraId="3716F7A1">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val="en-US" w:eastAsia="zh-CN" w:bidi="zh-CN"/>
        </w:rPr>
      </w:pPr>
      <w:r>
        <w:rPr>
          <w:rFonts w:hint="eastAsia" w:ascii="宋体" w:hAnsi="宋体" w:eastAsia="宋体" w:cs="宋体"/>
          <w:color w:val="000000"/>
          <w:highlight w:val="none"/>
          <w:lang w:val="en-US" w:eastAsia="zh-CN" w:bidi="zh-CN"/>
        </w:rPr>
        <w:t>采购人名称：</w:t>
      </w:r>
      <w:r>
        <w:rPr>
          <w:rFonts w:hint="eastAsia" w:ascii="宋体" w:hAnsi="宋体" w:cs="宋体"/>
          <w:kern w:val="0"/>
          <w:sz w:val="24"/>
          <w:lang w:eastAsia="zh-CN"/>
        </w:rPr>
        <w:t>宁夏太阳山水务有限责任公司</w:t>
      </w:r>
    </w:p>
    <w:p w14:paraId="2FDB22C1">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val="en-US" w:eastAsia="zh-CN" w:bidi="zh-CN"/>
        </w:rPr>
      </w:pPr>
      <w:r>
        <w:rPr>
          <w:rFonts w:hint="eastAsia" w:ascii="宋体" w:hAnsi="宋体" w:eastAsia="宋体" w:cs="宋体"/>
          <w:color w:val="000000"/>
          <w:highlight w:val="none"/>
          <w:lang w:val="en-US" w:eastAsia="zh-CN" w:bidi="zh-CN"/>
        </w:rPr>
        <w:t>地  址：</w:t>
      </w:r>
      <w:r>
        <w:rPr>
          <w:rFonts w:hint="eastAsia" w:cs="宋体"/>
          <w:color w:val="000000"/>
          <w:highlight w:val="none"/>
          <w:lang w:val="en-US" w:eastAsia="zh-CN" w:bidi="zh-CN"/>
        </w:rPr>
        <w:t>宁夏银川市金凤区枕水巷159号水利调度中心B座501-521室</w:t>
      </w:r>
    </w:p>
    <w:p w14:paraId="79A542FB">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ascii="宋体" w:hAnsi="宋体" w:eastAsia="宋体" w:cs="宋体"/>
          <w:color w:val="000000"/>
          <w:highlight w:val="none"/>
          <w:lang w:val="en-US" w:eastAsia="zh-CN" w:bidi="zh-CN"/>
        </w:rPr>
      </w:pPr>
      <w:r>
        <w:rPr>
          <w:rFonts w:hint="eastAsia" w:ascii="宋体" w:hAnsi="宋体" w:eastAsia="宋体" w:cs="宋体"/>
          <w:color w:val="000000"/>
          <w:highlight w:val="none"/>
          <w:lang w:bidi="zh-CN"/>
        </w:rPr>
        <w:t>联系方式：</w:t>
      </w:r>
      <w:r>
        <w:rPr>
          <w:rFonts w:hint="eastAsia" w:ascii="宋体" w:hAnsi="宋体" w:eastAsia="宋体" w:cs="宋体"/>
          <w:color w:val="000000"/>
          <w:highlight w:val="none"/>
          <w:lang w:val="en-US" w:eastAsia="zh-CN" w:bidi="zh-CN"/>
        </w:rPr>
        <w:t>杨</w:t>
      </w:r>
      <w:r>
        <w:rPr>
          <w:rFonts w:hint="eastAsia" w:cs="宋体"/>
          <w:color w:val="000000"/>
          <w:highlight w:val="none"/>
          <w:lang w:val="en-US" w:eastAsia="zh-CN" w:bidi="zh-CN"/>
        </w:rPr>
        <w:t>主任</w:t>
      </w:r>
      <w:r>
        <w:rPr>
          <w:rFonts w:hint="eastAsia" w:ascii="宋体" w:hAnsi="宋体" w:eastAsia="宋体" w:cs="宋体"/>
          <w:color w:val="000000"/>
          <w:highlight w:val="none"/>
          <w:lang w:bidi="zh-CN"/>
        </w:rPr>
        <w:t xml:space="preserve">  </w:t>
      </w:r>
      <w:r>
        <w:rPr>
          <w:rFonts w:hint="eastAsia" w:ascii="宋体" w:hAnsi="宋体" w:eastAsia="宋体" w:cs="宋体"/>
          <w:color w:val="000000"/>
          <w:highlight w:val="none"/>
          <w:lang w:val="en-US" w:eastAsia="zh-CN" w:bidi="zh-CN"/>
        </w:rPr>
        <w:t xml:space="preserve">    </w:t>
      </w:r>
      <w:r>
        <w:rPr>
          <w:rFonts w:hint="eastAsia" w:ascii="宋体" w:hAnsi="宋体" w:eastAsia="宋体" w:cs="宋体"/>
          <w:color w:val="000000"/>
          <w:highlight w:val="none"/>
          <w:lang w:bidi="zh-CN"/>
        </w:rPr>
        <w:t>电话：</w:t>
      </w:r>
      <w:r>
        <w:rPr>
          <w:rFonts w:hint="eastAsia" w:cs="宋体"/>
          <w:color w:val="000000"/>
          <w:highlight w:val="none"/>
          <w:lang w:val="en-US" w:eastAsia="zh-CN" w:bidi="zh-CN"/>
        </w:rPr>
        <w:t>13895038622</w:t>
      </w:r>
    </w:p>
    <w:p w14:paraId="18CA966F">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bidi="zh-CN"/>
        </w:rPr>
        <w:t>招标代理：宁夏正业通工程咨询有限责任公司</w:t>
      </w:r>
    </w:p>
    <w:p w14:paraId="56BD5DB7">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bidi="zh-CN"/>
        </w:rPr>
        <w:t>地    址：银川市金凤区宁安大街IBI育成中心二期九号楼</w:t>
      </w:r>
    </w:p>
    <w:p w14:paraId="6F29CABA">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color w:val="000000"/>
          <w:highlight w:val="none"/>
          <w:lang w:bidi="zh-CN"/>
        </w:rPr>
      </w:pPr>
      <w:r>
        <w:rPr>
          <w:rFonts w:hint="eastAsia" w:ascii="宋体" w:hAnsi="宋体" w:eastAsia="宋体" w:cs="宋体"/>
          <w:color w:val="000000"/>
          <w:highlight w:val="none"/>
          <w:lang w:bidi="zh-CN"/>
        </w:rPr>
        <w:t>联 系 人：张泽坤、杨凡</w:t>
      </w:r>
    </w:p>
    <w:p w14:paraId="271537C9">
      <w:pPr>
        <w:pStyle w:val="3"/>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color w:val="000000"/>
          <w:highlight w:val="none"/>
          <w:lang w:bidi="zh-CN"/>
        </w:rPr>
      </w:pPr>
      <w:r>
        <w:rPr>
          <w:rFonts w:hint="eastAsia" w:ascii="宋体" w:hAnsi="宋体" w:eastAsia="宋体" w:cs="宋体"/>
          <w:color w:val="000000"/>
          <w:highlight w:val="none"/>
          <w:lang w:bidi="zh-CN"/>
        </w:rPr>
        <w:t>联系电话：</w:t>
      </w:r>
      <w:r>
        <w:rPr>
          <w:rFonts w:hint="eastAsia" w:cs="宋体"/>
          <w:color w:val="000000"/>
          <w:highlight w:val="none"/>
          <w:lang w:val="en-US" w:bidi="zh-CN"/>
        </w:rPr>
        <w:t>18295391236</w:t>
      </w:r>
      <w:r>
        <w:rPr>
          <w:rFonts w:hint="eastAsia" w:ascii="宋体" w:hAnsi="宋体" w:eastAsia="宋体" w:cs="宋体"/>
          <w:color w:val="000000"/>
          <w:highlight w:val="none"/>
          <w:lang w:bidi="zh-CN"/>
        </w:rPr>
        <w:t xml:space="preserve">  0951-8507082</w:t>
      </w:r>
    </w:p>
    <w:p w14:paraId="77E760EA">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90443"/>
    <w:rsid w:val="0309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2025-05-28T09:52:00Z</dcterms:created>
  <dc:creator>LENOVO</dc:creator>
  <cp:lastModifiedBy>LENOVO</cp:lastModifiedBy>
  <dcterms:modified xsi:type="dcterms:W3CDTF">2025-05-28T09:53:07Z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CEB05E4712DE4FC4944A104E562582EE_11</vt:lpwstr>
  </property>
  <property fmtid="{D5CDD505-2E9C-101B-9397-08002B2CF9AE}" pid="4" name="KSOTemplateDocerSaveRecord">
    <vt:lpwstr>eyJoZGlkIjoiOWMwYmRkYzE2NTZkZTllOGNmYjBkNmU3ZTk4ZDFkODEiLCJ1c2VySWQiOiIzMTA2MTU0MjAifQ==</vt:lpwstr>
  </property>
</Properties>
</file>